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649" w:rsidRPr="00DC6649" w:rsidRDefault="00DC6649" w:rsidP="00DC6649">
      <w:pPr>
        <w:keepNext/>
        <w:autoSpaceDE w:val="0"/>
        <w:autoSpaceDN w:val="0"/>
        <w:adjustRightInd w:val="0"/>
        <w:spacing w:before="120" w:after="120" w:line="276" w:lineRule="auto"/>
        <w:ind w:left="-57"/>
        <w:outlineLvl w:val="0"/>
        <w:rPr>
          <w:rFonts w:eastAsia="Times New Roman" w:cstheme="minorHAnsi"/>
          <w:sz w:val="24"/>
          <w:szCs w:val="24"/>
          <w:lang w:val="x-none" w:eastAsia="pl-PL"/>
        </w:rPr>
      </w:pPr>
      <w:r w:rsidRPr="00DC6649">
        <w:rPr>
          <w:rFonts w:eastAsia="Times New Roman" w:cstheme="minorHAnsi"/>
          <w:b/>
          <w:noProof/>
          <w:sz w:val="24"/>
          <w:szCs w:val="24"/>
          <w:lang w:eastAsia="pl-PL"/>
        </w:rPr>
        <w:drawing>
          <wp:inline distT="0" distB="0" distL="0" distR="0" wp14:anchorId="761C976A" wp14:editId="41E9AC07">
            <wp:extent cx="6896100" cy="695325"/>
            <wp:effectExtent l="0" t="0" r="0" b="9525"/>
            <wp:docPr id="5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49" w:rsidRPr="00DC6649" w:rsidRDefault="00DC6649" w:rsidP="00DC6649">
      <w:pPr>
        <w:keepNext/>
        <w:autoSpaceDE w:val="0"/>
        <w:autoSpaceDN w:val="0"/>
        <w:adjustRightInd w:val="0"/>
        <w:spacing w:before="120" w:after="120" w:line="276" w:lineRule="auto"/>
        <w:outlineLvl w:val="0"/>
        <w:rPr>
          <w:rFonts w:eastAsia="Times New Roman" w:cstheme="minorHAnsi"/>
          <w:b/>
          <w:bCs/>
          <w:caps/>
          <w:sz w:val="24"/>
          <w:szCs w:val="24"/>
          <w:lang w:val="x-none" w:eastAsia="pl-PL"/>
        </w:rPr>
      </w:pPr>
      <w:r w:rsidRPr="00DC6649">
        <w:rPr>
          <w:rFonts w:eastAsia="Times New Roman" w:cstheme="minorHAnsi"/>
          <w:b/>
          <w:sz w:val="24"/>
          <w:szCs w:val="24"/>
          <w:lang w:val="x-none" w:eastAsia="pl-PL"/>
        </w:rPr>
        <w:t>Zobowiązanie stosowania mechanizmu monitorowania i wycofania w przypadku wykorzystania infrastruktury na cele prowadzenia działalności gospodarczej o</w:t>
      </w:r>
      <w:r w:rsidRPr="00DC6649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DC6649">
        <w:rPr>
          <w:rFonts w:eastAsia="Times New Roman" w:cstheme="minorHAnsi"/>
          <w:b/>
          <w:sz w:val="24"/>
          <w:szCs w:val="24"/>
          <w:lang w:val="x-none" w:eastAsia="pl-PL"/>
        </w:rPr>
        <w:t>charakterze pomocniczym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DC6649" w:rsidRPr="00DC6649" w:rsidRDefault="00DC6649" w:rsidP="00DC6649">
      <w:pPr>
        <w:spacing w:before="120" w:after="120" w:line="276" w:lineRule="auto"/>
        <w:ind w:left="5245" w:right="1961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…………………………..……</w:t>
      </w:r>
    </w:p>
    <w:p w:rsidR="00DC6649" w:rsidRPr="00DC6649" w:rsidRDefault="00DC6649" w:rsidP="00DC6649">
      <w:pPr>
        <w:spacing w:before="120" w:after="120" w:line="276" w:lineRule="auto"/>
        <w:ind w:left="5245" w:right="1961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(miejscowość, data)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W związku z uzyskaniem dofinansowania w ramach realizacji Projektu: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(nazwa i numer Projektu)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 xml:space="preserve">działając w imieniu Beneficjenta: 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:rsidR="00DC6649" w:rsidRPr="00DC6649" w:rsidRDefault="00DC6649" w:rsidP="00DC6649">
      <w:pPr>
        <w:spacing w:before="120"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t>(nazwa Beneficjenta, adres siedziby, NIP, REGON, KRS (jeśli dotyczy)</w:t>
      </w:r>
    </w:p>
    <w:p w:rsidR="00DC6649" w:rsidRPr="00DC6649" w:rsidRDefault="00DC6649" w:rsidP="00DC6649">
      <w:pPr>
        <w:spacing w:before="120" w:after="120" w:line="276" w:lineRule="auto"/>
        <w:ind w:left="5245" w:right="1961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:rsidR="00DC6649" w:rsidRPr="00DC6649" w:rsidRDefault="00DC6649" w:rsidP="00DC6649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:rsidR="00DC6649" w:rsidRPr="00DC6649" w:rsidRDefault="00DC6649" w:rsidP="00DC6649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br w:type="page"/>
      </w:r>
    </w:p>
    <w:p w:rsidR="00DC6649" w:rsidRPr="00DC6649" w:rsidRDefault="00DC6649" w:rsidP="00DC6649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pl-PL"/>
        </w:rPr>
        <w:lastRenderedPageBreak/>
        <w:t>Zobowiązuję się do stosowania „Mechanizmu monitorowania i wycofania” w przypadku wykorzystania infrastruktury na cele działalności gospodarczej o charakterze pomocniczym oraz przyjętych poniżej założeń przez cały okres amortyzacji każdego ze składników infrastruktury (niezależnie od okresu trwałości Projektu)</w:t>
      </w:r>
      <w:r w:rsidRPr="00DC6649">
        <w:rPr>
          <w:rFonts w:eastAsia="Times New Roman" w:cstheme="minorHAnsi"/>
          <w:bCs/>
          <w:sz w:val="24"/>
          <w:szCs w:val="24"/>
          <w:vertAlign w:val="superscript"/>
          <w:lang w:eastAsia="pl-PL"/>
        </w:rPr>
        <w:footnoteReference w:id="1"/>
      </w:r>
      <w:r w:rsidRPr="00DC6649">
        <w:rPr>
          <w:rFonts w:eastAsia="Times New Roman" w:cstheme="minorHAnsi"/>
          <w:sz w:val="24"/>
          <w:szCs w:val="24"/>
          <w:lang w:eastAsia="pl-PL"/>
        </w:rPr>
        <w:t>.</w:t>
      </w:r>
    </w:p>
    <w:p w:rsidR="00DC6649" w:rsidRPr="00DC6649" w:rsidRDefault="00DC6649" w:rsidP="00DC6649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</w:p>
    <w:p w:rsidR="00DC6649" w:rsidRPr="00DC6649" w:rsidRDefault="00DC6649" w:rsidP="00DC6649">
      <w:pPr>
        <w:numPr>
          <w:ilvl w:val="0"/>
          <w:numId w:val="1"/>
        </w:numPr>
        <w:spacing w:after="24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>Monitorowanie sposobu wykorzystania infrastruktury na cele działalności gospodarczej o charakterze pomocniczym będzie przebiegało w oparciu o poniższe wskaźniki (wskaźniki nie podlegają zmianom w całym okresie monitorowania):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855"/>
        <w:gridCol w:w="4855"/>
      </w:tblGrid>
      <w:tr w:rsidR="00DC6649" w:rsidRPr="00DC6649" w:rsidTr="00394765">
        <w:trPr>
          <w:trHeight w:val="496"/>
        </w:trPr>
        <w:tc>
          <w:tcPr>
            <w:tcW w:w="638" w:type="dxa"/>
            <w:shd w:val="clear" w:color="auto" w:fill="auto"/>
          </w:tcPr>
          <w:p w:rsidR="00DC6649" w:rsidRPr="00DC6649" w:rsidRDefault="00DC6649" w:rsidP="00DC6649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 wskaźnika</w:t>
            </w: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Uzasadnienie wyboru wskaźnika</w:t>
            </w:r>
          </w:p>
        </w:tc>
      </w:tr>
      <w:tr w:rsidR="00DC6649" w:rsidRPr="00DC6649" w:rsidTr="00394765">
        <w:trPr>
          <w:trHeight w:val="80"/>
        </w:trPr>
        <w:tc>
          <w:tcPr>
            <w:tcW w:w="63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C6649" w:rsidRPr="00DC6649" w:rsidTr="00394765">
        <w:trPr>
          <w:trHeight w:val="79"/>
        </w:trPr>
        <w:tc>
          <w:tcPr>
            <w:tcW w:w="63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C6649" w:rsidRPr="00DC6649" w:rsidTr="00394765">
        <w:trPr>
          <w:trHeight w:val="79"/>
        </w:trPr>
        <w:tc>
          <w:tcPr>
            <w:tcW w:w="63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55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DC6649" w:rsidRPr="00DC6649" w:rsidRDefault="00DC6649" w:rsidP="00DC6649">
      <w:p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</w:p>
    <w:p w:rsidR="00DC6649" w:rsidRPr="00DC6649" w:rsidRDefault="00DC6649" w:rsidP="00DC6649">
      <w:pPr>
        <w:numPr>
          <w:ilvl w:val="0"/>
          <w:numId w:val="1"/>
        </w:num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>Zobowiązuję się stosować wybraną poniżej metodę amortyzacji przez cały okres objęty mechanizmem monitorowania i wycofania</w:t>
      </w:r>
      <w:r w:rsidRPr="00DC664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C6649">
        <w:rPr>
          <w:rFonts w:eastAsia="Times New Roman" w:cstheme="minorHAnsi"/>
          <w:sz w:val="24"/>
          <w:szCs w:val="24"/>
          <w:lang w:eastAsia="x-none"/>
        </w:rPr>
        <w:t>niezależnie od okresu trwałości Projektu (to znaczy przez cały okres amortyzacji</w:t>
      </w:r>
      <w:r w:rsidRPr="00DC664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C6649">
        <w:rPr>
          <w:rFonts w:eastAsia="Times New Roman" w:cstheme="minorHAnsi"/>
          <w:sz w:val="24"/>
          <w:szCs w:val="24"/>
          <w:lang w:eastAsia="x-none"/>
        </w:rPr>
        <w:t>każdego ze składników infrastruktury)</w:t>
      </w:r>
      <w:r w:rsidRPr="00DC6649">
        <w:rPr>
          <w:rFonts w:eastAsia="Times New Roman" w:cstheme="minorHAnsi"/>
          <w:sz w:val="24"/>
          <w:szCs w:val="24"/>
          <w:vertAlign w:val="superscript"/>
          <w:lang w:eastAsia="x-none"/>
        </w:rPr>
        <w:footnoteReference w:id="2"/>
      </w:r>
      <w:r w:rsidRPr="00DC6649">
        <w:rPr>
          <w:rFonts w:eastAsia="Times New Roman" w:cstheme="minorHAnsi"/>
          <w:sz w:val="24"/>
          <w:szCs w:val="24"/>
          <w:lang w:eastAsia="x-none"/>
        </w:rPr>
        <w:t>.</w:t>
      </w:r>
    </w:p>
    <w:p w:rsidR="00DC6649" w:rsidRPr="00DC6649" w:rsidRDefault="00DC6649" w:rsidP="00DC6649">
      <w:p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>Wybrana metoda amortyzacji: ………………………………………………………………….……………………………………………..</w:t>
      </w:r>
    </w:p>
    <w:p w:rsidR="00DC6649" w:rsidRPr="00DC6649" w:rsidRDefault="00DC6649" w:rsidP="00DC6649">
      <w:p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>Uzasadnienie:</w:t>
      </w:r>
    </w:p>
    <w:p w:rsidR="00DC6649" w:rsidRPr="00DC6649" w:rsidRDefault="00DC6649" w:rsidP="00DC6649">
      <w:p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6649" w:rsidRPr="00DC6649" w:rsidRDefault="00DC6649" w:rsidP="00DC6649">
      <w:pPr>
        <w:numPr>
          <w:ilvl w:val="0"/>
          <w:numId w:val="1"/>
        </w:num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 xml:space="preserve">Zobowiązuję się stosować opisany poniżej czas amortyzacji składników infrastruktury </w:t>
      </w:r>
      <w:r w:rsidRPr="00DC6649">
        <w:rPr>
          <w:rFonts w:eastAsia="Times New Roman" w:cstheme="minorHAnsi"/>
          <w:sz w:val="24"/>
          <w:szCs w:val="24"/>
          <w:lang w:eastAsia="pl-PL"/>
        </w:rPr>
        <w:t>i </w:t>
      </w:r>
      <w:r w:rsidRPr="00DC6649">
        <w:rPr>
          <w:rFonts w:eastAsia="Times New Roman" w:cstheme="minorHAnsi"/>
          <w:sz w:val="24"/>
          <w:szCs w:val="24"/>
          <w:lang w:eastAsia="x-none"/>
        </w:rPr>
        <w:t xml:space="preserve">monitorować sposób wykorzystania każdego ze składników przez </w:t>
      </w:r>
      <w:r w:rsidRPr="00DC6649">
        <w:rPr>
          <w:rFonts w:eastAsia="Times New Roman" w:cstheme="minorHAnsi"/>
          <w:bCs/>
          <w:sz w:val="24"/>
          <w:szCs w:val="24"/>
          <w:lang w:eastAsia="pl-PL"/>
        </w:rPr>
        <w:t>okres amortyzacji każdego ze składników infrastruktury niezależnie od okresu trwałości Projektu</w:t>
      </w:r>
      <w:r w:rsidRPr="00DC6649">
        <w:rPr>
          <w:rFonts w:eastAsia="Times New Roman" w:cstheme="minorHAnsi"/>
          <w:bCs/>
          <w:sz w:val="24"/>
          <w:szCs w:val="24"/>
          <w:vertAlign w:val="superscript"/>
          <w:lang w:eastAsia="pl-PL"/>
        </w:rPr>
        <w:footnoteReference w:id="3"/>
      </w:r>
      <w:r w:rsidRPr="00DC6649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6141"/>
        <w:gridCol w:w="3459"/>
      </w:tblGrid>
      <w:tr w:rsidR="00DC6649" w:rsidRPr="00DC6649" w:rsidTr="00394765">
        <w:trPr>
          <w:trHeight w:val="567"/>
        </w:trPr>
        <w:tc>
          <w:tcPr>
            <w:tcW w:w="608" w:type="dxa"/>
            <w:shd w:val="clear" w:color="auto" w:fill="auto"/>
          </w:tcPr>
          <w:p w:rsidR="00DC6649" w:rsidRPr="00DC6649" w:rsidRDefault="00DC6649" w:rsidP="00DC6649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6237" w:type="dxa"/>
            <w:shd w:val="clear" w:color="auto" w:fill="auto"/>
          </w:tcPr>
          <w:p w:rsidR="00DC6649" w:rsidRPr="00DC6649" w:rsidRDefault="00DC6649" w:rsidP="00DC6649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Składnik infrastruktury</w:t>
            </w:r>
          </w:p>
        </w:tc>
        <w:tc>
          <w:tcPr>
            <w:tcW w:w="3503" w:type="dxa"/>
            <w:shd w:val="clear" w:color="auto" w:fill="auto"/>
          </w:tcPr>
          <w:p w:rsidR="00DC6649" w:rsidRPr="00DC6649" w:rsidRDefault="00DC6649" w:rsidP="00DC6649">
            <w:pPr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Okres amortyzacji</w:t>
            </w:r>
          </w:p>
        </w:tc>
      </w:tr>
      <w:tr w:rsidR="00DC6649" w:rsidRPr="00DC6649" w:rsidTr="00394765">
        <w:trPr>
          <w:trHeight w:val="47"/>
        </w:trPr>
        <w:tc>
          <w:tcPr>
            <w:tcW w:w="60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503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C6649" w:rsidRPr="00DC6649" w:rsidTr="00394765">
        <w:trPr>
          <w:trHeight w:val="47"/>
        </w:trPr>
        <w:tc>
          <w:tcPr>
            <w:tcW w:w="60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503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C6649" w:rsidRPr="00DC6649" w:rsidTr="00394765">
        <w:trPr>
          <w:trHeight w:val="47"/>
        </w:trPr>
        <w:tc>
          <w:tcPr>
            <w:tcW w:w="60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503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DC6649" w:rsidRPr="00DC6649" w:rsidTr="00394765">
        <w:trPr>
          <w:trHeight w:val="47"/>
        </w:trPr>
        <w:tc>
          <w:tcPr>
            <w:tcW w:w="608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503" w:type="dxa"/>
            <w:shd w:val="clear" w:color="auto" w:fill="auto"/>
          </w:tcPr>
          <w:p w:rsidR="00DC6649" w:rsidRPr="00DC6649" w:rsidRDefault="00DC6649" w:rsidP="00DC6649">
            <w:pPr>
              <w:spacing w:before="120" w:after="12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DC6649" w:rsidRPr="00DC6649" w:rsidRDefault="00DC6649" w:rsidP="00DC6649">
      <w:pPr>
        <w:spacing w:before="120" w:after="120" w:line="276" w:lineRule="auto"/>
        <w:ind w:right="282"/>
        <w:rPr>
          <w:rFonts w:eastAsia="Times New Roman" w:cstheme="minorHAnsi"/>
          <w:sz w:val="24"/>
          <w:szCs w:val="24"/>
          <w:lang w:eastAsia="x-none"/>
        </w:rPr>
      </w:pPr>
    </w:p>
    <w:p w:rsidR="00DC6649" w:rsidRPr="00DC6649" w:rsidRDefault="00DC6649" w:rsidP="00DC6649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C6649">
        <w:rPr>
          <w:rFonts w:eastAsia="Times New Roman" w:cstheme="minorHAnsi"/>
          <w:sz w:val="24"/>
          <w:szCs w:val="24"/>
          <w:lang w:eastAsia="x-none"/>
        </w:rPr>
        <w:t xml:space="preserve">Zobowiązuję się składać corocznie, nie później niż do 31 stycznia roku następującego po roku, w którym amortyzowano monitorowaną infrastrukturę, sprawozdania z monitorowania sposobu wykorzystania infrastruktury na cele działalności gospodarczej o charakterze pomocniczym w oparciu o przyjęte wskaźniki oraz dokonać zwrotu środków w przypadku, gdy w danym roku objętym monitorowaniem wykorzystanie infrastruktury na cele gospodarcze przekroczy poziom 20% całkowitej rocznej wydajności infrastruktury. Zwrotu odpowiedniej części otrzymanego dofinansowania należy dokonać w terminie 60 dni od dnia zakończenia roku objętego monitorowaniem. </w:t>
      </w:r>
      <w:r w:rsidRPr="00DC6649">
        <w:rPr>
          <w:rFonts w:eastAsia="Times New Roman" w:cstheme="minorHAnsi"/>
          <w:sz w:val="24"/>
          <w:szCs w:val="24"/>
          <w:lang w:eastAsia="pl-PL"/>
        </w:rPr>
        <w:t>W przypadku niedokonania zwrotu w terminie określonym w Umowie, zastosowanie znajdzie art. 207 ustawy o finansach publicznych.</w:t>
      </w:r>
    </w:p>
    <w:p w:rsidR="00DC6649" w:rsidRPr="00DC6649" w:rsidRDefault="00DC6649" w:rsidP="00DC6649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6"/>
      </w:tblGrid>
      <w:tr w:rsidR="00DC6649" w:rsidRPr="00DC6649" w:rsidTr="00394765">
        <w:trPr>
          <w:trHeight w:val="416"/>
        </w:trPr>
        <w:tc>
          <w:tcPr>
            <w:tcW w:w="5000" w:type="pct"/>
            <w:shd w:val="clear" w:color="auto" w:fill="FFFFFF"/>
          </w:tcPr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br w:type="page"/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br w:type="page"/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br w:type="page"/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br w:type="page"/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br w:type="page"/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br w:type="page"/>
            </w:r>
            <w:r w:rsidRPr="00DC6649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Instrukcja wypełnienia załącznika</w:t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DC6649" w:rsidRPr="00DC6649" w:rsidRDefault="00DC6649" w:rsidP="00DC6649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Do punktu 2 Należy określić wskaźniki wraz z analizą/uzasadnieniem ich zastosowania, na przykład powierzchnia infrastruktury, czas jej wykorzystania lub inne wskaźniki. Mechanizm ten </w:t>
            </w:r>
            <w:r w:rsidRPr="00DC6649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nie może</w:t>
            </w:r>
            <w:r w:rsidRPr="00DC6649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być oparty na przychodach lub dochodach osiąganych z działalności gospodarczej i niegospodarczej.</w:t>
            </w:r>
          </w:p>
          <w:p w:rsidR="00DC6649" w:rsidRPr="00DC6649" w:rsidRDefault="00DC6649" w:rsidP="00DC6649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Beneficjent deklaruje wskaźnik(i) wydajności infrastruktury, w oparciu o które będzie monitorował wykorzystanie tej infrastruktury przed podpisaniem Umowy o dofinansowanie. Instytucja Zarządzająca może zgłosić zastrzeżenia do konstrukcji wskaźnika. Wskaźniki wybrane do monitorowania sposobu wykorzystania infrastruktury są </w:t>
            </w:r>
            <w:r w:rsidRPr="00DC6649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ostatecznie ustalane</w:t>
            </w:r>
            <w:r w:rsidRPr="00DC6649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Umowie o dofinansowanie Projektu i nie podlegają zmianom w całym okresie monitorowania. Mechanizm monitorowania i wycofania, w celu dostarczenia wiarygodnych danych na temat zakresu gospodarczego wykorzystania infrastruktury, musi być oparty na adekwatnych i niezmiennych w czasie wskaźnikach. W związku z tym nie ma możliwości przyjmowania różnych wskaźników służących mierzeniu sposobu wykorzystania infrastruktury dla poszczególnych lat. Z tego powodu wybór określonych wskaźników, które będą stanowić podstawę monitorowania sposobu wykorzystania infrastruktury powinien być poparty odpowiednią analizą prowadzącą do najbardziej uzasadnionego wyboru.</w:t>
            </w:r>
          </w:p>
          <w:p w:rsidR="00DC6649" w:rsidRPr="00DC6649" w:rsidRDefault="00DC6649" w:rsidP="00DC6649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t>Do punktu 3 Należy przyjąć i opisać wybraną metodę amortyzacji, uzasadnić jej wybór.</w:t>
            </w: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punktu 4 Należy wypisać wszystkie składniki infrastruktury, które Beneficjent będzie wykorzystywał na cele prowadzenia działalności gospodarczej o charakterze pomocniczym oraz określić zgodnie </w:t>
            </w: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 przyjętą metodą czas amortyzacji tych składników infrastruktury. Należy mieć na uwadze, że konsekwencją powyższego jest konieczność stosowania wybranej metody w zakresie całego mechanizmu monitorowania i wycofania.</w:t>
            </w: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t>W sytuacji, w której poszczególne składniki dofinansowanej infrastruktury amortyzują się w różnych okresach, każdy ze składników powinien podlegać mechanizmowi monitorowania we właściwym dla 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      </w: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kern w:val="3"/>
                <w:sz w:val="24"/>
                <w:szCs w:val="24"/>
                <w:lang w:eastAsia="zh-CN"/>
              </w:rPr>
            </w:pPr>
            <w:r w:rsidRPr="00DC664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punktu 5 Sprawozdania, wraz z dokumentacją finansowo-księgową oraz innymi dokumentami, na podstawie których można potwierdzić proporcje wykorzystania infrastruktury do prowadzenia działalności gospodarczej lub niegospodarczej, powinny być składane do 31 stycznia roku następującego po roku, w którym amortyzowano monitorowaną infrastrukturę. </w:t>
            </w:r>
          </w:p>
        </w:tc>
      </w:tr>
      <w:tr w:rsidR="00DC6649" w:rsidRPr="00DC6649" w:rsidTr="00394765">
        <w:trPr>
          <w:trHeight w:val="416"/>
        </w:trPr>
        <w:tc>
          <w:tcPr>
            <w:tcW w:w="5000" w:type="pct"/>
            <w:shd w:val="clear" w:color="auto" w:fill="FFFFFF"/>
          </w:tcPr>
          <w:p w:rsidR="00DC6649" w:rsidRPr="00DC6649" w:rsidRDefault="00DC6649" w:rsidP="00DC6649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DC6649" w:rsidRPr="00DC6649" w:rsidRDefault="00DC6649" w:rsidP="00DC6649">
      <w:pPr>
        <w:spacing w:after="0" w:line="276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:rsidR="00DC6649" w:rsidRPr="00DC6649" w:rsidRDefault="00DC6649" w:rsidP="00DC6649">
      <w:pPr>
        <w:spacing w:after="0" w:line="276" w:lineRule="auto"/>
        <w:ind w:left="6096" w:right="1535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C6649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………………………………………….</w:t>
      </w:r>
    </w:p>
    <w:p w:rsidR="00DC6649" w:rsidRPr="00DC6649" w:rsidRDefault="00DC6649" w:rsidP="00DC6649">
      <w:pPr>
        <w:spacing w:after="0" w:line="276" w:lineRule="auto"/>
        <w:ind w:left="6096" w:right="1535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C6649">
        <w:rPr>
          <w:rFonts w:eastAsia="Times New Roman" w:cstheme="minorHAnsi"/>
          <w:color w:val="000000"/>
          <w:sz w:val="24"/>
          <w:szCs w:val="24"/>
          <w:lang w:eastAsia="pl-PL"/>
        </w:rPr>
        <w:t>podpis/y Wnioskodawcy</w:t>
      </w:r>
    </w:p>
    <w:p w:rsidR="00DC6649" w:rsidRPr="00DC6649" w:rsidRDefault="00DC6649" w:rsidP="00DC6649">
      <w:pPr>
        <w:autoSpaceDE w:val="0"/>
        <w:autoSpaceDN w:val="0"/>
        <w:adjustRightInd w:val="0"/>
        <w:spacing w:before="240"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C664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DC6649" w:rsidRPr="00DC6649" w:rsidRDefault="00DC6649" w:rsidP="00DC6649">
      <w:pPr>
        <w:autoSpaceDE w:val="0"/>
        <w:autoSpaceDN w:val="0"/>
        <w:adjustRightInd w:val="0"/>
        <w:spacing w:before="240"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45121C" w:rsidRDefault="00DC6649">
      <w:bookmarkStart w:id="0" w:name="_GoBack"/>
      <w:bookmarkEnd w:id="0"/>
    </w:p>
    <w:sectPr w:rsidR="0045121C" w:rsidSect="004C4D93">
      <w:footerReference w:type="even" r:id="rId8"/>
      <w:footerReference w:type="default" r:id="rId9"/>
      <w:pgSz w:w="11906" w:h="16838" w:code="9"/>
      <w:pgMar w:top="720" w:right="720" w:bottom="720" w:left="720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49" w:rsidRDefault="00DC6649" w:rsidP="00DC6649">
      <w:pPr>
        <w:spacing w:after="0" w:line="240" w:lineRule="auto"/>
      </w:pPr>
      <w:r>
        <w:separator/>
      </w:r>
    </w:p>
  </w:endnote>
  <w:endnote w:type="continuationSeparator" w:id="0">
    <w:p w:rsidR="00DC6649" w:rsidRDefault="00DC6649" w:rsidP="00DC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686" w:rsidRDefault="00DC6649" w:rsidP="00A867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4686" w:rsidRDefault="00DC66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686" w:rsidRPr="00773788" w:rsidRDefault="00DC6649" w:rsidP="00A867E3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8"/>
        <w:szCs w:val="18"/>
      </w:rPr>
    </w:pPr>
    <w:r w:rsidRPr="00773788">
      <w:rPr>
        <w:rStyle w:val="Numerstrony"/>
        <w:rFonts w:asciiTheme="minorHAnsi" w:hAnsiTheme="minorHAnsi" w:cstheme="minorHAnsi"/>
        <w:sz w:val="18"/>
        <w:szCs w:val="18"/>
      </w:rPr>
      <w:fldChar w:fldCharType="begin"/>
    </w:r>
    <w:r w:rsidRPr="00773788">
      <w:rPr>
        <w:rStyle w:val="Numerstrony"/>
        <w:rFonts w:asciiTheme="minorHAnsi" w:hAnsiTheme="minorHAnsi" w:cstheme="minorHAnsi"/>
        <w:sz w:val="18"/>
        <w:szCs w:val="18"/>
      </w:rPr>
      <w:instrText xml:space="preserve">PAGE  </w:instrText>
    </w:r>
    <w:r w:rsidRPr="00773788">
      <w:rPr>
        <w:rStyle w:val="Numerstrony"/>
        <w:rFonts w:asciiTheme="minorHAnsi" w:hAnsiTheme="minorHAnsi" w:cstheme="minorHAnsi"/>
        <w:sz w:val="18"/>
        <w:szCs w:val="18"/>
      </w:rPr>
      <w:fldChar w:fldCharType="separate"/>
    </w:r>
    <w:r>
      <w:rPr>
        <w:rStyle w:val="Numerstrony"/>
        <w:rFonts w:asciiTheme="minorHAnsi" w:hAnsiTheme="minorHAnsi" w:cstheme="minorHAnsi"/>
        <w:noProof/>
        <w:sz w:val="18"/>
        <w:szCs w:val="18"/>
      </w:rPr>
      <w:t>4</w:t>
    </w:r>
    <w:r w:rsidRPr="00773788">
      <w:rPr>
        <w:rStyle w:val="Numerstrony"/>
        <w:rFonts w:asciiTheme="minorHAnsi" w:hAnsiTheme="minorHAnsi" w:cstheme="minorHAnsi"/>
        <w:sz w:val="18"/>
        <w:szCs w:val="18"/>
      </w:rPr>
      <w:fldChar w:fldCharType="end"/>
    </w:r>
  </w:p>
  <w:p w:rsidR="00764686" w:rsidRDefault="00DC6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49" w:rsidRDefault="00DC6649" w:rsidP="00DC6649">
      <w:pPr>
        <w:spacing w:after="0" w:line="240" w:lineRule="auto"/>
      </w:pPr>
      <w:r>
        <w:separator/>
      </w:r>
    </w:p>
  </w:footnote>
  <w:footnote w:type="continuationSeparator" w:id="0">
    <w:p w:rsidR="00DC6649" w:rsidRDefault="00DC6649" w:rsidP="00DC6649">
      <w:pPr>
        <w:spacing w:after="0" w:line="240" w:lineRule="auto"/>
      </w:pPr>
      <w:r>
        <w:continuationSeparator/>
      </w:r>
    </w:p>
  </w:footnote>
  <w:footnote w:id="1">
    <w:p w:rsidR="00DC6649" w:rsidRPr="00AA0ACB" w:rsidRDefault="00DC6649" w:rsidP="00DC6649">
      <w:pPr>
        <w:pStyle w:val="Tekstprzypisudolnego"/>
        <w:spacing w:before="120" w:after="120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Jednocześnie, </w:t>
      </w:r>
      <w:r w:rsidRPr="00AA0ACB">
        <w:rPr>
          <w:rFonts w:asciiTheme="minorHAnsi" w:hAnsiTheme="minorHAnsi" w:cstheme="minorHAnsi"/>
          <w:bCs/>
          <w:szCs w:val="16"/>
        </w:rPr>
        <w:t xml:space="preserve">jeżeli na daną infrastrukturę Beneficjent otrzymuje wsparcie publiczne również z innych źródeł, należy brać pod uwagę wszystkie źródła finansowania </w:t>
      </w:r>
      <w:r w:rsidRPr="00AA0ACB">
        <w:rPr>
          <w:rFonts w:asciiTheme="minorHAnsi" w:hAnsiTheme="minorHAnsi" w:cstheme="minorHAnsi"/>
          <w:szCs w:val="16"/>
        </w:rPr>
        <w:t xml:space="preserve">(dofinansowanie ze środków RPO lub inne środki publiczne) i zasady, na jakich wsparcie to zostało udzielone </w:t>
      </w:r>
      <w:r w:rsidRPr="00AA0ACB">
        <w:rPr>
          <w:rFonts w:asciiTheme="minorHAnsi" w:hAnsiTheme="minorHAnsi" w:cstheme="minorHAnsi"/>
          <w:bCs/>
          <w:szCs w:val="16"/>
        </w:rPr>
        <w:t>oraz włączyć je w zakres monitorowania i uwzględnić w składanych sprawozdaniach</w:t>
      </w:r>
      <w:r w:rsidRPr="00AA0ACB">
        <w:rPr>
          <w:rFonts w:asciiTheme="minorHAnsi" w:hAnsiTheme="minorHAnsi" w:cstheme="minorHAnsi"/>
          <w:szCs w:val="16"/>
        </w:rPr>
        <w:t>.</w:t>
      </w:r>
    </w:p>
  </w:footnote>
  <w:footnote w:id="2">
    <w:p w:rsidR="00DC6649" w:rsidRPr="00AA0ACB" w:rsidRDefault="00DC6649" w:rsidP="00DC6649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Na gruncie polskiego prawa możliwe są dwie metody dokonywania amortyzacji:</w:t>
      </w:r>
    </w:p>
    <w:p w:rsidR="00DC6649" w:rsidRPr="00AA0ACB" w:rsidRDefault="00DC6649" w:rsidP="00DC6649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a. amortyzacja na podstawie ustawy o rachunkowości:</w:t>
      </w:r>
    </w:p>
    <w:p w:rsidR="00DC6649" w:rsidRPr="00AA0ACB" w:rsidRDefault="00DC6649" w:rsidP="00DC6649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Przy ustalaniu okresu amortyzacji i rocznej stawki amortyzacyjnej uwzględnia się okres ekonomicznej użyteczności środka trwałego, t</w:t>
      </w:r>
      <w:r>
        <w:rPr>
          <w:rFonts w:asciiTheme="minorHAnsi" w:hAnsiTheme="minorHAnsi" w:cstheme="minorHAnsi"/>
          <w:szCs w:val="16"/>
          <w:lang w:val="pl-PL"/>
        </w:rPr>
        <w:t xml:space="preserve">o </w:t>
      </w:r>
      <w:r w:rsidRPr="00AA0ACB">
        <w:rPr>
          <w:rFonts w:asciiTheme="minorHAnsi" w:hAnsiTheme="minorHAnsi" w:cstheme="minorHAnsi"/>
          <w:szCs w:val="16"/>
        </w:rPr>
        <w:t>j</w:t>
      </w:r>
      <w:r>
        <w:rPr>
          <w:rFonts w:asciiTheme="minorHAnsi" w:hAnsiTheme="minorHAnsi" w:cstheme="minorHAnsi"/>
          <w:szCs w:val="16"/>
          <w:lang w:val="pl-PL"/>
        </w:rPr>
        <w:t>est</w:t>
      </w:r>
      <w:r w:rsidRPr="00AA0ACB">
        <w:rPr>
          <w:rFonts w:asciiTheme="minorHAnsi" w:hAnsiTheme="minorHAnsi" w:cstheme="minorHAnsi"/>
          <w:szCs w:val="16"/>
        </w:rPr>
        <w:t xml:space="preserve"> czas, w którym według oczekiwań środek trwały będzie użytkowany przez jednostkę i z tego tytułu będzie ona osiągała korzyści ekonomiczne.</w:t>
      </w:r>
    </w:p>
    <w:p w:rsidR="00DC6649" w:rsidRPr="00AA0ACB" w:rsidRDefault="00DC6649" w:rsidP="00DC6649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b. amortyzacja na podstawie ustawy o podatku dochodowym od osób fizycznych i prawnych:</w:t>
      </w:r>
    </w:p>
    <w:p w:rsidR="00DC6649" w:rsidRPr="00AA0ACB" w:rsidRDefault="00DC6649" w:rsidP="00DC6649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Odpisów amortyzacyjnych dokonuje się na podstawie planu amortyzacji sporządzonego z zastosowaniem stawek przewidzianych w wykazach oraz określonych metod dla poszczególnych składników aktywów, dla zakupów powyżej 10 000,00 zł (amortyzacja liniowa, degresywna, stawki indywidualne).</w:t>
      </w:r>
    </w:p>
    <w:p w:rsidR="00DC6649" w:rsidRPr="00AA0ACB" w:rsidRDefault="00DC6649" w:rsidP="00DC6649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 w:val="16"/>
          <w:szCs w:val="16"/>
        </w:rPr>
      </w:pPr>
      <w:r w:rsidRPr="00AA0ACB">
        <w:rPr>
          <w:rFonts w:asciiTheme="minorHAnsi" w:hAnsiTheme="minorHAnsi" w:cstheme="minorHAnsi"/>
          <w:szCs w:val="16"/>
        </w:rPr>
        <w:t>Należy mieć na uwadze, że konsekwencją powyższego jest konieczność stosowania wybranej metody w zakresie całego mechanizmu monitorowania i wycofania.</w:t>
      </w:r>
    </w:p>
  </w:footnote>
  <w:footnote w:id="3">
    <w:p w:rsidR="00DC6649" w:rsidRPr="00AA0ACB" w:rsidRDefault="00DC6649" w:rsidP="00DC6649">
      <w:pPr>
        <w:pStyle w:val="Tekstprzypisukocow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Monitorowanie sposobu wykorzystania infrastruktury odbywa się co najmniej przez cały okres jej amortyzacji. Oznacza to, że mechanizm monitorowania i wycofania jest niezależny od okresu trwałości Projektu. Nie jest możliwe przyjęcie średniego okresu amortyzacji dla wszystkich składników infrastruktury i stosowanie mechanizmu w tym uśrednionym okresie. Beneficjent ma natomiast możliwość przyjęcia dla wszystkich składników danej infrastruktury jednolitego okresu równego okresowi amortyzacji tego składnika infrastruktury, który amortyzuje się najdłużej.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649"/>
    <w:rsid w:val="003A767B"/>
    <w:rsid w:val="009F6877"/>
    <w:rsid w:val="00DC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98DE9-C537-4E10-BB27-C394EB52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C66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C664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DC6649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qFormat/>
    <w:rsid w:val="00DC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DC664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a,Ref,Char"/>
    <w:uiPriority w:val="99"/>
    <w:qFormat/>
    <w:rsid w:val="00DC6649"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rsid w:val="00DC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C664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Tuszynska Paulina</dc:creator>
  <cp:keywords/>
  <dc:description/>
  <cp:lastModifiedBy>Tuszynska Paulina</cp:lastModifiedBy>
  <cp:revision>1</cp:revision>
  <dcterms:created xsi:type="dcterms:W3CDTF">2024-10-29T09:14:00Z</dcterms:created>
  <dcterms:modified xsi:type="dcterms:W3CDTF">2024-10-29T09:15:00Z</dcterms:modified>
</cp:coreProperties>
</file>